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2969" w:rsidRDefault="009D5718">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D32969" w:rsidRDefault="009D5718">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1.005126</w:t>
      </w:r>
    </w:p>
    <w:p w:rsidR="00D32969" w:rsidRDefault="009D5718">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900/QĐ-BXD</w:t>
      </w:r>
    </w:p>
    <w:p w:rsidR="00D32969" w:rsidRDefault="009D5718">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Giấy phép xây dựng, cải tạo, nâng cấp đường ngang</w:t>
      </w:r>
    </w:p>
    <w:p w:rsidR="00D32969" w:rsidRDefault="009D5718">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D32969" w:rsidRDefault="009D5718">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D32969" w:rsidRDefault="009D5718">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sắt</w:t>
      </w:r>
    </w:p>
    <w:p w:rsidR="00D32969" w:rsidRDefault="009D5718">
      <w:pPr>
        <w:spacing w:after="0" w:line="276" w:lineRule="auto"/>
        <w:jc w:val="both"/>
      </w:pPr>
      <w:r>
        <w:rPr>
          <w:rFonts w:ascii="Times New Roman" w:eastAsia="Times New Roman" w:hAnsi="Times New Roman" w:cs="Times New Roman"/>
          <w:b/>
          <w:sz w:val="26"/>
        </w:rPr>
        <w:t xml:space="preserve">Trình tự thực hiện: </w:t>
      </w:r>
    </w:p>
    <w:p w:rsidR="00D32969" w:rsidRDefault="00D32969">
      <w:pPr>
        <w:shd w:val="clear" w:color="auto" w:fill="F2F6F9"/>
        <w:spacing w:before="120" w:after="0" w:line="276" w:lineRule="auto"/>
        <w:jc w:val="both"/>
      </w:pPr>
    </w:p>
    <w:p w:rsidR="00D32969" w:rsidRDefault="009D5718">
      <w:pPr>
        <w:spacing w:after="0" w:line="276" w:lineRule="auto"/>
        <w:jc w:val="both"/>
      </w:pPr>
      <w:r>
        <w:rPr>
          <w:rFonts w:ascii="Times New Roman" w:eastAsia="Times New Roman" w:hAnsi="Times New Roman" w:cs="Times New Roman"/>
          <w:sz w:val="26"/>
        </w:rPr>
        <w:t>a) Nộp hồ sơ TTHC:  Chủ đầu tư dự án hoặc chủ quản lý, sử dụng đường ngang nộp trực tiếp hoặc qua đường bưu điện hoặc qua môi trường điện tử hồ sơ đề nghị cấp giấy phép xây dựng, cải tạo, nâng cấp đường ngang về cơ quan cấp giấy phép,</w:t>
      </w:r>
      <w:r>
        <w:rPr>
          <w:rFonts w:ascii="Times New Roman" w:eastAsia="Times New Roman" w:hAnsi="Times New Roman" w:cs="Times New Roman"/>
          <w:sz w:val="26"/>
        </w:rPr>
        <w:t xml:space="preserve"> cụ thể: - Cục Đường sắt Việt Nam đối với đường ngang công cộng trên đường sắt quốc gia do Bộ Xây dựng tổ chức quản lý, bảo trì. - Ủy ban nhân dân cấp tỉnh đối với đường ngang chuyên dùng xây dựng trên đường sắt quốc gia, đường ngang công cộng do Ủy ban nh</w:t>
      </w:r>
      <w:r>
        <w:rPr>
          <w:rFonts w:ascii="Times New Roman" w:eastAsia="Times New Roman" w:hAnsi="Times New Roman" w:cs="Times New Roman"/>
          <w:sz w:val="26"/>
        </w:rPr>
        <w:t>ân dân cấp tỉnh tổ chức quản lý, bảo trì. b) Giải quyết TTHC: - Trường hợp nộp hồ sơ trực tiếp, cơ quan có thẩm quyền cấp giấy phép trả kết quả trong ngày làm việc về thành phần hồ sơ đề nghị cấp giấy phép. - Trường hợp nộp hồ sơ qua đường bưu điện hoặc th</w:t>
      </w:r>
      <w:r>
        <w:rPr>
          <w:rFonts w:ascii="Times New Roman" w:eastAsia="Times New Roman" w:hAnsi="Times New Roman" w:cs="Times New Roman"/>
          <w:sz w:val="26"/>
        </w:rPr>
        <w:t>ực hiện qua môi trường điện tử, nếu thành phần hồ sơ chưa đầy đủ theo quy định, trong thời hạn 02 ngày làm việc, cơ quan có thẩm quyền cấp giấy phép thông báo bằng văn bản hướng dẫn hoàn thiện hồ sơ. - Trong thời hạn 02 ngày làm việc, kể từ ngày nhận hồ sơ</w:t>
      </w:r>
      <w:r>
        <w:rPr>
          <w:rFonts w:ascii="Times New Roman" w:eastAsia="Times New Roman" w:hAnsi="Times New Roman" w:cs="Times New Roman"/>
          <w:sz w:val="26"/>
        </w:rPr>
        <w:t xml:space="preserve"> đầy đủ theo quy định, cơ quan có thẩm quyền cấp giấy phép có trách nhiệm gửi hồ sơ đến các cơ quan đơn vị liên quan để lấy ý kiến: + Doanh nghiệp kinh doanh kết cấu hạ tầng đường sắt, cơ quan quản lý đường bộ (nếu có liên quan) đối với đường ngang trên đư</w:t>
      </w:r>
      <w:r>
        <w:rPr>
          <w:rFonts w:ascii="Times New Roman" w:eastAsia="Times New Roman" w:hAnsi="Times New Roman" w:cs="Times New Roman"/>
          <w:sz w:val="26"/>
        </w:rPr>
        <w:t>ờng sắt quốc gia; + Cục Đường bộ Việt Nam, cơ quan theo phân cấp, ủy quyền của Ủy ban nhân dân cấp tỉnh quản lý tuyến đường bộ (nếu có liên quan). - Trong vòng 05 ngày làm việc kể từ thời điểm cơ quan có thẩm quyền cấp giấy phép có văn bản lấy ý kiến, cơ q</w:t>
      </w:r>
      <w:r>
        <w:rPr>
          <w:rFonts w:ascii="Times New Roman" w:eastAsia="Times New Roman" w:hAnsi="Times New Roman" w:cs="Times New Roman"/>
          <w:sz w:val="26"/>
        </w:rPr>
        <w:t>uan, tổ chức được lấy ý kiến có trách nhiệm trả lời bằng văn bản. - Trường hợp không chấp thuận cấp phép, cơ quan có thẩm quyền cấp giấy phép có văn bản trả lời, nêu rõ lý do.</w:t>
      </w:r>
    </w:p>
    <w:p w:rsidR="00D32969" w:rsidRDefault="009D571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64"/>
        <w:gridCol w:w="1507"/>
        <w:gridCol w:w="2397"/>
        <w:gridCol w:w="4043"/>
      </w:tblGrid>
      <w:tr w:rsidR="00D32969">
        <w:tblPrEx>
          <w:tblCellMar>
            <w:top w:w="0" w:type="dxa"/>
            <w:bottom w:w="0" w:type="dxa"/>
          </w:tblCellMar>
        </w:tblPrEx>
        <w:tc>
          <w:tcPr>
            <w:tcW w:w="1500" w:type="dxa"/>
          </w:tcPr>
          <w:p w:rsidR="00D32969" w:rsidRDefault="00D32969"/>
          <w:p w:rsidR="00D32969" w:rsidRDefault="009D5718">
            <w:pPr>
              <w:spacing w:after="0" w:line="276" w:lineRule="auto"/>
              <w:jc w:val="center"/>
            </w:pPr>
            <w:r>
              <w:rPr>
                <w:rFonts w:ascii="Times New Roman" w:eastAsia="Times New Roman" w:hAnsi="Times New Roman" w:cs="Times New Roman"/>
                <w:b/>
                <w:sz w:val="26"/>
              </w:rPr>
              <w:t>Hình thức nộp</w:t>
            </w:r>
          </w:p>
        </w:tc>
        <w:tc>
          <w:tcPr>
            <w:tcW w:w="2000" w:type="dxa"/>
          </w:tcPr>
          <w:p w:rsidR="00D32969" w:rsidRDefault="00D32969"/>
          <w:p w:rsidR="00D32969" w:rsidRDefault="009D5718">
            <w:pPr>
              <w:spacing w:after="0" w:line="276" w:lineRule="auto"/>
              <w:jc w:val="center"/>
            </w:pPr>
            <w:r>
              <w:rPr>
                <w:rFonts w:ascii="Times New Roman" w:eastAsia="Times New Roman" w:hAnsi="Times New Roman" w:cs="Times New Roman"/>
                <w:b/>
                <w:sz w:val="26"/>
              </w:rPr>
              <w:t>Thời hạn giải quyết</w:t>
            </w:r>
          </w:p>
        </w:tc>
        <w:tc>
          <w:tcPr>
            <w:tcW w:w="3500" w:type="dxa"/>
          </w:tcPr>
          <w:p w:rsidR="00D32969" w:rsidRDefault="00D32969"/>
          <w:p w:rsidR="00D32969" w:rsidRDefault="009D5718">
            <w:pPr>
              <w:spacing w:after="0" w:line="276" w:lineRule="auto"/>
              <w:jc w:val="center"/>
            </w:pPr>
            <w:r>
              <w:rPr>
                <w:rFonts w:ascii="Times New Roman" w:eastAsia="Times New Roman" w:hAnsi="Times New Roman" w:cs="Times New Roman"/>
                <w:b/>
                <w:sz w:val="26"/>
              </w:rPr>
              <w:t>Phí, lệ phí</w:t>
            </w:r>
          </w:p>
        </w:tc>
        <w:tc>
          <w:tcPr>
            <w:tcW w:w="3000" w:type="dxa"/>
          </w:tcPr>
          <w:p w:rsidR="00D32969" w:rsidRDefault="00D32969"/>
          <w:p w:rsidR="00D32969" w:rsidRDefault="009D5718">
            <w:pPr>
              <w:spacing w:after="0" w:line="276" w:lineRule="auto"/>
              <w:jc w:val="center"/>
            </w:pPr>
            <w:r>
              <w:rPr>
                <w:rFonts w:ascii="Times New Roman" w:eastAsia="Times New Roman" w:hAnsi="Times New Roman" w:cs="Times New Roman"/>
                <w:b/>
                <w:sz w:val="26"/>
              </w:rPr>
              <w:t>Mô tả</w:t>
            </w:r>
          </w:p>
        </w:tc>
      </w:tr>
      <w:tr w:rsidR="00D32969">
        <w:tblPrEx>
          <w:tblCellMar>
            <w:top w:w="0" w:type="dxa"/>
            <w:bottom w:w="0" w:type="dxa"/>
          </w:tblCellMar>
        </w:tblPrEx>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Trực tiếp</w:t>
            </w:r>
          </w:p>
        </w:tc>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10 Ngày làm việc</w:t>
            </w:r>
          </w:p>
        </w:tc>
        <w:tc>
          <w:tcPr>
            <w:tcW w:w="0" w:type="auto"/>
          </w:tcPr>
          <w:p w:rsidR="00D32969" w:rsidRDefault="00D32969"/>
          <w:p w:rsidR="00D32969" w:rsidRDefault="00D32969">
            <w:pPr>
              <w:spacing w:after="0" w:line="276" w:lineRule="auto"/>
            </w:pPr>
          </w:p>
        </w:tc>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10 ngày làm việc, kể từ ngày nhận đủ hồ sơ theo quy định</w:t>
            </w:r>
          </w:p>
        </w:tc>
      </w:tr>
      <w:tr w:rsidR="00D32969">
        <w:tblPrEx>
          <w:tblCellMar>
            <w:top w:w="0" w:type="dxa"/>
            <w:bottom w:w="0" w:type="dxa"/>
          </w:tblCellMar>
        </w:tblPrEx>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Trực tuyến</w:t>
            </w:r>
          </w:p>
        </w:tc>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10 Ngày làm việc</w:t>
            </w:r>
          </w:p>
        </w:tc>
        <w:tc>
          <w:tcPr>
            <w:tcW w:w="0" w:type="auto"/>
          </w:tcPr>
          <w:p w:rsidR="00D32969" w:rsidRDefault="00D32969"/>
          <w:p w:rsidR="00D32969" w:rsidRDefault="00D32969">
            <w:pPr>
              <w:spacing w:after="0" w:line="276" w:lineRule="auto"/>
            </w:pPr>
          </w:p>
        </w:tc>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10 ngày làm việc, kể từ ngày nhận đủ hồ sơ theo quy định</w:t>
            </w:r>
          </w:p>
        </w:tc>
      </w:tr>
      <w:tr w:rsidR="00D32969">
        <w:tblPrEx>
          <w:tblCellMar>
            <w:top w:w="0" w:type="dxa"/>
            <w:bottom w:w="0" w:type="dxa"/>
          </w:tblCellMar>
        </w:tblPrEx>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Dịch vụ bưu chính</w:t>
            </w:r>
          </w:p>
        </w:tc>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10 Ngày làm việc</w:t>
            </w:r>
          </w:p>
        </w:tc>
        <w:tc>
          <w:tcPr>
            <w:tcW w:w="0" w:type="auto"/>
          </w:tcPr>
          <w:p w:rsidR="00D32969" w:rsidRDefault="00D32969"/>
          <w:p w:rsidR="00D32969" w:rsidRDefault="00D32969">
            <w:pPr>
              <w:spacing w:after="0" w:line="276" w:lineRule="auto"/>
            </w:pPr>
          </w:p>
        </w:tc>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10 ngày làm việc, kể từ ngày nhận đủ</w:t>
            </w:r>
            <w:r>
              <w:rPr>
                <w:rFonts w:ascii="Times New Roman" w:eastAsia="Times New Roman" w:hAnsi="Times New Roman" w:cs="Times New Roman"/>
                <w:sz w:val="26"/>
              </w:rPr>
              <w:t xml:space="preserve"> hồ sơ theo quy định</w:t>
            </w:r>
          </w:p>
        </w:tc>
      </w:tr>
    </w:tbl>
    <w:p w:rsidR="00D32969" w:rsidRDefault="009D5718">
      <w:pPr>
        <w:spacing w:before="240" w:after="0" w:line="276" w:lineRule="auto"/>
        <w:jc w:val="both"/>
      </w:pPr>
      <w:r>
        <w:rPr>
          <w:rFonts w:ascii="Times New Roman" w:eastAsia="Times New Roman" w:hAnsi="Times New Roman" w:cs="Times New Roman"/>
          <w:b/>
          <w:sz w:val="26"/>
        </w:rPr>
        <w:t xml:space="preserve">Thành phần hồ sơ: </w:t>
      </w:r>
    </w:p>
    <w:p w:rsidR="00D32969" w:rsidRDefault="009D571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931"/>
        <w:gridCol w:w="1547"/>
        <w:gridCol w:w="933"/>
      </w:tblGrid>
      <w:tr w:rsidR="00D32969">
        <w:tblPrEx>
          <w:tblCellMar>
            <w:top w:w="0" w:type="dxa"/>
            <w:bottom w:w="0" w:type="dxa"/>
          </w:tblCellMar>
        </w:tblPrEx>
        <w:tc>
          <w:tcPr>
            <w:tcW w:w="6000" w:type="dxa"/>
          </w:tcPr>
          <w:p w:rsidR="00D32969" w:rsidRDefault="00D32969"/>
          <w:p w:rsidR="00D32969" w:rsidRDefault="009D5718">
            <w:pPr>
              <w:spacing w:after="0" w:line="276" w:lineRule="auto"/>
              <w:jc w:val="center"/>
            </w:pPr>
            <w:r>
              <w:rPr>
                <w:rFonts w:ascii="Times New Roman" w:eastAsia="Times New Roman" w:hAnsi="Times New Roman" w:cs="Times New Roman"/>
                <w:b/>
                <w:sz w:val="26"/>
              </w:rPr>
              <w:t>Tên giấy tờ</w:t>
            </w:r>
          </w:p>
        </w:tc>
        <w:tc>
          <w:tcPr>
            <w:tcW w:w="2000" w:type="dxa"/>
          </w:tcPr>
          <w:p w:rsidR="00D32969" w:rsidRDefault="00D32969"/>
          <w:p w:rsidR="00D32969" w:rsidRDefault="009D5718">
            <w:pPr>
              <w:spacing w:after="0" w:line="276" w:lineRule="auto"/>
              <w:jc w:val="center"/>
            </w:pPr>
            <w:r>
              <w:rPr>
                <w:rFonts w:ascii="Times New Roman" w:eastAsia="Times New Roman" w:hAnsi="Times New Roman" w:cs="Times New Roman"/>
                <w:b/>
                <w:sz w:val="26"/>
              </w:rPr>
              <w:t>Mẫu đơn, tờ khai</w:t>
            </w:r>
          </w:p>
        </w:tc>
        <w:tc>
          <w:tcPr>
            <w:tcW w:w="2000" w:type="dxa"/>
          </w:tcPr>
          <w:p w:rsidR="00D32969" w:rsidRDefault="00D32969"/>
          <w:p w:rsidR="00D32969" w:rsidRDefault="009D5718">
            <w:pPr>
              <w:spacing w:after="0" w:line="276" w:lineRule="auto"/>
              <w:jc w:val="center"/>
            </w:pPr>
            <w:r>
              <w:rPr>
                <w:rFonts w:ascii="Times New Roman" w:eastAsia="Times New Roman" w:hAnsi="Times New Roman" w:cs="Times New Roman"/>
                <w:b/>
                <w:sz w:val="26"/>
              </w:rPr>
              <w:t>Số lượng</w:t>
            </w:r>
          </w:p>
        </w:tc>
      </w:tr>
      <w:tr w:rsidR="00D32969">
        <w:tblPrEx>
          <w:tblCellMar>
            <w:top w:w="0" w:type="dxa"/>
            <w:bottom w:w="0" w:type="dxa"/>
          </w:tblCellMar>
        </w:tblPrEx>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Đơn đề nghị cấp giấy phép xây dựng, cải tạo, nâng cấp đường ngang</w:t>
            </w:r>
          </w:p>
        </w:tc>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1.005126.doc</w:t>
            </w:r>
          </w:p>
        </w:tc>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32969">
        <w:tblPrEx>
          <w:tblCellMar>
            <w:top w:w="0" w:type="dxa"/>
            <w:bottom w:w="0" w:type="dxa"/>
          </w:tblCellMar>
        </w:tblPrEx>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 xml:space="preserve">Bản chính hoặc bản sao được chứng thực hoặc bản sao kèm </w:t>
            </w:r>
            <w:r>
              <w:rPr>
                <w:rFonts w:ascii="Times New Roman" w:eastAsia="Times New Roman" w:hAnsi="Times New Roman" w:cs="Times New Roman"/>
                <w:sz w:val="26"/>
              </w:rPr>
              <w:t>theo bản chính để đối chiếu hoặc bản sao điện tử có giá trị pháp lý (khi thực hiện thủ tục hành chính trên môi trường điện tử) : Quyết định phê duyệt dự án đầu tư xây dựng công trình</w:t>
            </w:r>
          </w:p>
        </w:tc>
        <w:tc>
          <w:tcPr>
            <w:tcW w:w="0" w:type="auto"/>
          </w:tcPr>
          <w:p w:rsidR="00D32969" w:rsidRDefault="00D32969"/>
        </w:tc>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32969">
        <w:tblPrEx>
          <w:tblCellMar>
            <w:top w:w="0" w:type="dxa"/>
            <w:bottom w:w="0" w:type="dxa"/>
          </w:tblCellMar>
        </w:tblPrEx>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 xml:space="preserve">Bản chính hoặc bản sao được chứng thực hoặc </w:t>
            </w:r>
            <w:r>
              <w:rPr>
                <w:rFonts w:ascii="Times New Roman" w:eastAsia="Times New Roman" w:hAnsi="Times New Roman" w:cs="Times New Roman"/>
                <w:sz w:val="26"/>
              </w:rPr>
              <w:t>bản sao kèm theo bản chính để đối chiếu hoặc bản sao điện tử có giá trị pháp lý (khi thực hiện thủ tục hành chính trên môi trường điện tử):  Quyết định phê duyệt thiết kế kỹ thuật hoặc thiết kế bản vẽ thi công của đường ngang</w:t>
            </w:r>
          </w:p>
        </w:tc>
        <w:tc>
          <w:tcPr>
            <w:tcW w:w="0" w:type="auto"/>
          </w:tcPr>
          <w:p w:rsidR="00D32969" w:rsidRDefault="00D32969"/>
        </w:tc>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32969">
        <w:tblPrEx>
          <w:tblCellMar>
            <w:top w:w="0" w:type="dxa"/>
            <w:bottom w:w="0" w:type="dxa"/>
          </w:tblCellMar>
        </w:tblPrEx>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Bả</w:t>
            </w:r>
            <w:r>
              <w:rPr>
                <w:rFonts w:ascii="Times New Roman" w:eastAsia="Times New Roman" w:hAnsi="Times New Roman" w:cs="Times New Roman"/>
                <w:sz w:val="26"/>
              </w:rPr>
              <w:t>n chính hoặc bản sao được chứng thực hoặc bản sao kèm theo bản chính để đối chiếu hoặc bản sao điện tử có giá trị pháp lý (khi thực hiện thủ tục hành chính trên môi trường điện tử): Hồ sơ thiết kế kỹ thuật hoặc thiết kế bản vẽ thi công của đường ngang đã đ</w:t>
            </w:r>
            <w:r>
              <w:rPr>
                <w:rFonts w:ascii="Times New Roman" w:eastAsia="Times New Roman" w:hAnsi="Times New Roman" w:cs="Times New Roman"/>
                <w:sz w:val="26"/>
              </w:rPr>
              <w:t>ược phê duyệt</w:t>
            </w:r>
          </w:p>
        </w:tc>
        <w:tc>
          <w:tcPr>
            <w:tcW w:w="0" w:type="auto"/>
          </w:tcPr>
          <w:p w:rsidR="00D32969" w:rsidRDefault="00D32969"/>
        </w:tc>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32969">
        <w:tblPrEx>
          <w:tblCellMar>
            <w:top w:w="0" w:type="dxa"/>
            <w:bottom w:w="0" w:type="dxa"/>
          </w:tblCellMar>
        </w:tblPrEx>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 xml:space="preserve">Bản chính hoặc bản sao được chứng thực hoặc bản sao kèm theo bản chính để đối chiếu hoặc bản sao điện tử có giá trị pháp lý (khi </w:t>
            </w:r>
            <w:r>
              <w:rPr>
                <w:rFonts w:ascii="Times New Roman" w:eastAsia="Times New Roman" w:hAnsi="Times New Roman" w:cs="Times New Roman"/>
                <w:sz w:val="26"/>
              </w:rPr>
              <w:lastRenderedPageBreak/>
              <w:t>thực hiện thủ tục hành chính trên môi trường điện tử):  Phương án tổ chức thi công đư</w:t>
            </w:r>
            <w:r>
              <w:rPr>
                <w:rFonts w:ascii="Times New Roman" w:eastAsia="Times New Roman" w:hAnsi="Times New Roman" w:cs="Times New Roman"/>
                <w:sz w:val="26"/>
              </w:rPr>
              <w:t>ờng ngang và biện pháp bảo đảm an toàn giao thông trong quá trình thi công được cấp thẩm quyền phê duyệt hoặc chủ đầu tư chấp thuận</w:t>
            </w:r>
          </w:p>
        </w:tc>
        <w:tc>
          <w:tcPr>
            <w:tcW w:w="0" w:type="auto"/>
          </w:tcPr>
          <w:p w:rsidR="00D32969" w:rsidRDefault="00D32969"/>
        </w:tc>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1</w:t>
            </w:r>
          </w:p>
        </w:tc>
      </w:tr>
    </w:tbl>
    <w:p w:rsidR="00D32969" w:rsidRDefault="009D5718">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 xml:space="preserve">Doanh nghiệp, Doanh nghiệp có vốn đầu tư nước ngoài, Tổ chức (không bao gồm </w:t>
      </w:r>
      <w:r>
        <w:rPr>
          <w:rFonts w:ascii="Times New Roman" w:eastAsia="Times New Roman" w:hAnsi="Times New Roman" w:cs="Times New Roman"/>
          <w:sz w:val="26"/>
        </w:rPr>
        <w:t>doanh nghiệp, HTX), Tổ chức nước ngoài, Hợp tác xã</w:t>
      </w:r>
    </w:p>
    <w:p w:rsidR="00D32969" w:rsidRDefault="009D571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Đường sắt Việt Nam, Ủy ban nhân dân cấp tỉnh</w:t>
      </w:r>
    </w:p>
    <w:p w:rsidR="00D32969" w:rsidRDefault="009D571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Cục Đường sắt Việt Nam, Ủy ban nhân dân cấp tỉnh</w:t>
      </w:r>
    </w:p>
    <w:p w:rsidR="00D32969" w:rsidRDefault="009D571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xml:space="preserve">+ Cục Đường sắt Việt Nam đối với đường </w:t>
      </w:r>
      <w:r>
        <w:rPr>
          <w:rFonts w:ascii="Times New Roman" w:eastAsia="Times New Roman" w:hAnsi="Times New Roman" w:cs="Times New Roman"/>
          <w:sz w:val="26"/>
        </w:rPr>
        <w:t>ngang công cộng trên đường sắt quốc gia do Bộ Xây dựng tổ chức quản lý, bảo trì. + Ủy ban nhân dân cấp tỉnh đối với đường ngang chuyên dùng xây dựng trên đường sắt quốc gia, đường ngang công cộng do Ủy ban nhân dân cấp tỉnh tổ chức quản lý, bảo trì.</w:t>
      </w:r>
    </w:p>
    <w:p w:rsidR="00D32969" w:rsidRDefault="009D5718">
      <w:pPr>
        <w:spacing w:after="0" w:line="276" w:lineRule="auto"/>
        <w:jc w:val="both"/>
      </w:pPr>
      <w:r>
        <w:rPr>
          <w:rFonts w:ascii="Times New Roman" w:eastAsia="Times New Roman" w:hAnsi="Times New Roman" w:cs="Times New Roman"/>
          <w:b/>
          <w:sz w:val="26"/>
        </w:rPr>
        <w:t>Cơ qua</w:t>
      </w:r>
      <w:r>
        <w:rPr>
          <w:rFonts w:ascii="Times New Roman" w:eastAsia="Times New Roman" w:hAnsi="Times New Roman" w:cs="Times New Roman"/>
          <w:b/>
          <w:sz w:val="26"/>
        </w:rPr>
        <w:t xml:space="preserve">n được ủy quyền: </w:t>
      </w:r>
      <w:r>
        <w:rPr>
          <w:rFonts w:ascii="Times New Roman" w:eastAsia="Times New Roman" w:hAnsi="Times New Roman" w:cs="Times New Roman"/>
          <w:sz w:val="26"/>
        </w:rPr>
        <w:t>Không có thông tin</w:t>
      </w:r>
    </w:p>
    <w:p w:rsidR="00D32969" w:rsidRDefault="009D571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Cục Đường bộ Việt Nam, Doanh nghiệp kinh doanh kết cấu hạ tầng đường sắt, cơ quan quản lý đường bộ, Sở Xây dựng</w:t>
      </w:r>
    </w:p>
    <w:p w:rsidR="00D32969" w:rsidRDefault="009D571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xây dựng, cải tạo, nâng cấp đường ngang</w:t>
      </w:r>
    </w:p>
    <w:p w:rsidR="00D32969" w:rsidRDefault="009D5718">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D32969">
        <w:tblPrEx>
          <w:tblCellMar>
            <w:top w:w="0" w:type="dxa"/>
            <w:bottom w:w="0" w:type="dxa"/>
          </w:tblCellMar>
        </w:tblPrEx>
        <w:tc>
          <w:tcPr>
            <w:tcW w:w="2000" w:type="dxa"/>
          </w:tcPr>
          <w:p w:rsidR="00D32969" w:rsidRDefault="00D32969"/>
          <w:p w:rsidR="00D32969" w:rsidRDefault="009D5718">
            <w:pPr>
              <w:spacing w:after="0" w:line="276" w:lineRule="auto"/>
              <w:jc w:val="center"/>
            </w:pPr>
            <w:r>
              <w:rPr>
                <w:rFonts w:ascii="Times New Roman" w:eastAsia="Times New Roman" w:hAnsi="Times New Roman" w:cs="Times New Roman"/>
                <w:b/>
                <w:sz w:val="26"/>
              </w:rPr>
              <w:t xml:space="preserve">Số </w:t>
            </w:r>
            <w:r>
              <w:rPr>
                <w:rFonts w:ascii="Times New Roman" w:eastAsia="Times New Roman" w:hAnsi="Times New Roman" w:cs="Times New Roman"/>
                <w:b/>
                <w:sz w:val="26"/>
              </w:rPr>
              <w:t>ký hiệu</w:t>
            </w:r>
          </w:p>
        </w:tc>
        <w:tc>
          <w:tcPr>
            <w:tcW w:w="3500" w:type="dxa"/>
          </w:tcPr>
          <w:p w:rsidR="00D32969" w:rsidRDefault="00D32969"/>
          <w:p w:rsidR="00D32969" w:rsidRDefault="009D5718">
            <w:pPr>
              <w:spacing w:after="0" w:line="276" w:lineRule="auto"/>
              <w:jc w:val="center"/>
            </w:pPr>
            <w:r>
              <w:rPr>
                <w:rFonts w:ascii="Times New Roman" w:eastAsia="Times New Roman" w:hAnsi="Times New Roman" w:cs="Times New Roman"/>
                <w:b/>
                <w:sz w:val="26"/>
              </w:rPr>
              <w:t>Trích yếu</w:t>
            </w:r>
          </w:p>
        </w:tc>
        <w:tc>
          <w:tcPr>
            <w:tcW w:w="1500" w:type="dxa"/>
          </w:tcPr>
          <w:p w:rsidR="00D32969" w:rsidRDefault="00D32969"/>
          <w:p w:rsidR="00D32969" w:rsidRDefault="009D5718">
            <w:pPr>
              <w:spacing w:after="0" w:line="276" w:lineRule="auto"/>
              <w:jc w:val="center"/>
            </w:pPr>
            <w:r>
              <w:rPr>
                <w:rFonts w:ascii="Times New Roman" w:eastAsia="Times New Roman" w:hAnsi="Times New Roman" w:cs="Times New Roman"/>
                <w:b/>
                <w:sz w:val="26"/>
              </w:rPr>
              <w:t>Ngày ban hành</w:t>
            </w:r>
          </w:p>
        </w:tc>
        <w:tc>
          <w:tcPr>
            <w:tcW w:w="3000" w:type="dxa"/>
          </w:tcPr>
          <w:p w:rsidR="00D32969" w:rsidRDefault="00D32969"/>
          <w:p w:rsidR="00D32969" w:rsidRDefault="009D5718">
            <w:pPr>
              <w:spacing w:after="0" w:line="276" w:lineRule="auto"/>
              <w:jc w:val="center"/>
            </w:pPr>
            <w:r>
              <w:rPr>
                <w:rFonts w:ascii="Times New Roman" w:eastAsia="Times New Roman" w:hAnsi="Times New Roman" w:cs="Times New Roman"/>
                <w:b/>
                <w:sz w:val="26"/>
              </w:rPr>
              <w:t>Cơ quan ban hành</w:t>
            </w:r>
          </w:p>
        </w:tc>
      </w:tr>
      <w:tr w:rsidR="00D32969">
        <w:tblPrEx>
          <w:tblCellMar>
            <w:top w:w="0" w:type="dxa"/>
            <w:bottom w:w="0" w:type="dxa"/>
          </w:tblCellMar>
        </w:tblPrEx>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06/2017/QH14</w:t>
            </w:r>
          </w:p>
        </w:tc>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Luật Đường sắt</w:t>
            </w:r>
          </w:p>
        </w:tc>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16-06-2017</w:t>
            </w:r>
          </w:p>
        </w:tc>
        <w:tc>
          <w:tcPr>
            <w:tcW w:w="0" w:type="auto"/>
          </w:tcPr>
          <w:p w:rsidR="00D32969" w:rsidRDefault="00D32969"/>
        </w:tc>
      </w:tr>
      <w:tr w:rsidR="00D32969">
        <w:tblPrEx>
          <w:tblCellMar>
            <w:top w:w="0" w:type="dxa"/>
            <w:bottom w:w="0" w:type="dxa"/>
          </w:tblCellMar>
        </w:tblPrEx>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TT 29/2023/TT-BGTVT</w:t>
            </w:r>
          </w:p>
        </w:tc>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quy định về đường ngang và cấp giấy phép xây dựng công trình thiết yếu trong phạm vi đất dành cho đường sắt</w:t>
            </w:r>
          </w:p>
        </w:tc>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29-09-2023</w:t>
            </w:r>
          </w:p>
        </w:tc>
        <w:tc>
          <w:tcPr>
            <w:tcW w:w="0" w:type="auto"/>
          </w:tcPr>
          <w:p w:rsidR="00D32969" w:rsidRDefault="00D32969"/>
        </w:tc>
      </w:tr>
      <w:tr w:rsidR="00D32969">
        <w:tblPrEx>
          <w:tblCellMar>
            <w:top w:w="0" w:type="dxa"/>
            <w:bottom w:w="0" w:type="dxa"/>
          </w:tblCellMar>
        </w:tblPrEx>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09/2025/TT-BXD</w:t>
            </w:r>
          </w:p>
        </w:tc>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Thông tư sửa đổi, bổ sung một số điều của các Thông tư thuộc lĩnh vực quản lý nhà nước của Bộ Xây dựng liên quan đến sắp xếp tổ chức bộ máy, thực hiện chính quyền địa phương hai cấp và phân cấp cho chính quyền địa phương.</w:t>
            </w:r>
          </w:p>
        </w:tc>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13-06-2025</w:t>
            </w:r>
          </w:p>
        </w:tc>
        <w:tc>
          <w:tcPr>
            <w:tcW w:w="0" w:type="auto"/>
          </w:tcPr>
          <w:p w:rsidR="00D32969" w:rsidRDefault="00D32969"/>
          <w:p w:rsidR="00D32969" w:rsidRDefault="009D5718">
            <w:pPr>
              <w:spacing w:after="0" w:line="276" w:lineRule="auto"/>
            </w:pPr>
            <w:r>
              <w:rPr>
                <w:rFonts w:ascii="Times New Roman" w:eastAsia="Times New Roman" w:hAnsi="Times New Roman" w:cs="Times New Roman"/>
                <w:sz w:val="26"/>
              </w:rPr>
              <w:t>Bộ Xây dựng</w:t>
            </w:r>
          </w:p>
        </w:tc>
      </w:tr>
    </w:tbl>
    <w:p w:rsidR="00D32969" w:rsidRDefault="009D571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D32969" w:rsidRDefault="009D571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D32969" w:rsidRDefault="009D571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D32969">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D32969"/>
    <w:rsid w:val="009D5718"/>
    <w:rsid w:val="00D3296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B87C69-96BC-4EF2-AAED-3CEC435A7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774</Words>
  <Characters>4417</Characters>
  <Application>Microsoft Office Word</Application>
  <DocSecurity>0</DocSecurity>
  <Lines>36</Lines>
  <Paragraphs>10</Paragraphs>
  <ScaleCrop>false</ScaleCrop>
  <Company>Microsoft</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